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133B0" w14:textId="44AAF643" w:rsidR="0039088A" w:rsidRDefault="0039088A">
      <w:pPr>
        <w:jc w:val="center"/>
        <w:rPr>
          <w:color w:val="000000"/>
        </w:rPr>
      </w:pPr>
    </w:p>
    <w:p w14:paraId="20389B9D" w14:textId="77777777" w:rsidR="0039088A" w:rsidRDefault="000342F2">
      <w:pPr>
        <w:rPr>
          <w:color w:val="000000"/>
          <w:sz w:val="23"/>
          <w:szCs w:val="23"/>
        </w:rPr>
      </w:pPr>
      <w:r>
        <w:rPr>
          <w:b/>
          <w:bCs/>
          <w:color w:val="000000"/>
          <w:sz w:val="23"/>
          <w:szCs w:val="23"/>
        </w:rPr>
        <w:t>Policy: 5630</w:t>
      </w:r>
      <w:r>
        <w:rPr>
          <w:b/>
          <w:bCs/>
          <w:color w:val="000000"/>
        </w:rPr>
        <w:br/>
      </w:r>
      <w:r>
        <w:rPr>
          <w:b/>
          <w:bCs/>
          <w:color w:val="000000"/>
          <w:sz w:val="23"/>
          <w:szCs w:val="23"/>
        </w:rPr>
        <w:t>Section: 5000 - Personnel</w:t>
      </w:r>
    </w:p>
    <w:p w14:paraId="36B6A41D" w14:textId="77777777" w:rsidR="0039088A" w:rsidRDefault="0026342A">
      <w:pPr>
        <w:rPr>
          <w:rFonts w:eastAsia="Times New Roman"/>
          <w:color w:val="000000"/>
          <w:sz w:val="23"/>
          <w:szCs w:val="23"/>
        </w:rPr>
      </w:pPr>
      <w:r>
        <w:rPr>
          <w:rFonts w:eastAsia="Times New Roman"/>
          <w:noProof/>
          <w:color w:val="000000"/>
          <w:sz w:val="23"/>
          <w:szCs w:val="23"/>
        </w:rPr>
        <w:pict w14:anchorId="624394B3">
          <v:rect id="_x0000_i1026" alt="" style="width:468pt;height:.05pt;mso-width-percent:0;mso-height-percent:0;mso-width-percent:0;mso-height-percent:0" o:hralign="center" o:hrstd="t" o:hr="t" fillcolor="#a0a0a0" stroked="f"/>
        </w:pict>
      </w:r>
    </w:p>
    <w:p w14:paraId="17C2AA5B" w14:textId="77777777" w:rsidR="0039088A" w:rsidRDefault="000342F2">
      <w:pPr>
        <w:pStyle w:val="Heading1"/>
        <w:rPr>
          <w:rFonts w:ascii="Verdana" w:eastAsia="Times New Roman" w:hAnsi="Verdana"/>
          <w:color w:val="000000"/>
          <w:sz w:val="21"/>
          <w:szCs w:val="21"/>
        </w:rPr>
      </w:pPr>
      <w:r>
        <w:rPr>
          <w:rFonts w:ascii="Verdana" w:eastAsia="Times New Roman" w:hAnsi="Verdana"/>
          <w:color w:val="000000"/>
          <w:sz w:val="21"/>
          <w:szCs w:val="21"/>
        </w:rPr>
        <w:t>Volunteers</w:t>
      </w:r>
    </w:p>
    <w:p w14:paraId="220E12EB" w14:textId="77777777" w:rsidR="0039088A" w:rsidRDefault="0039088A">
      <w:pPr>
        <w:rPr>
          <w:rFonts w:eastAsia="Times New Roman"/>
          <w:color w:val="000000"/>
          <w:sz w:val="23"/>
          <w:szCs w:val="23"/>
        </w:rPr>
      </w:pPr>
    </w:p>
    <w:p w14:paraId="10F87B25" w14:textId="77777777" w:rsidR="0039088A" w:rsidRDefault="000342F2">
      <w:pPr>
        <w:pStyle w:val="NormalWeb"/>
        <w:rPr>
          <w:color w:val="000000"/>
        </w:rPr>
      </w:pPr>
      <w:r>
        <w:rPr>
          <w:color w:val="000000"/>
        </w:rPr>
        <w:t>The district recognizes the valuable contribution made to the total school program through the volunteer assistance of parents and other citizens. In working with volunteers, district staff will clearly explain the volunteer's responsibility for supervising students in school, on the playground and on field trips. On field trips both students and volunteers are to be informed of the rules of student behavior and the means by which they are to be held accountable to those rules.</w:t>
      </w:r>
    </w:p>
    <w:p w14:paraId="2798EFA4" w14:textId="77777777" w:rsidR="0039088A" w:rsidRDefault="000342F2">
      <w:pPr>
        <w:pStyle w:val="NormalWeb"/>
        <w:rPr>
          <w:color w:val="000000"/>
        </w:rPr>
      </w:pPr>
      <w:r>
        <w:rPr>
          <w:color w:val="000000"/>
        </w:rPr>
        <w:br/>
        <w:t>The superintendent will be responsible for developing and implementing procedures for the utilization of volunteers. The selection and use of volunteers will be consistent with those policies and procedures as specified for unsupervised volunteers as specified in Policy 5005, Employment and Volunteers: Disclosures, Certification Requirements, Assurances and Approval.</w:t>
      </w:r>
    </w:p>
    <w:p w14:paraId="312E3F12" w14:textId="77777777" w:rsidR="0039088A" w:rsidRDefault="0039088A">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315"/>
      </w:tblGrid>
      <w:tr w:rsidR="0039088A" w14:paraId="4F3B720A" w14:textId="77777777">
        <w:trPr>
          <w:tblCellSpacing w:w="15" w:type="dxa"/>
        </w:trPr>
        <w:tc>
          <w:tcPr>
            <w:tcW w:w="3000" w:type="dxa"/>
            <w:vAlign w:val="center"/>
            <w:hideMark/>
          </w:tcPr>
          <w:p w14:paraId="56365CDF" w14:textId="77777777" w:rsidR="0039088A" w:rsidRDefault="000342F2">
            <w:pPr>
              <w:rPr>
                <w:color w:val="000000"/>
              </w:rPr>
            </w:pPr>
            <w:r>
              <w:rPr>
                <w:color w:val="000000"/>
              </w:rPr>
              <w:t xml:space="preserve">Cross References: </w:t>
            </w:r>
          </w:p>
        </w:tc>
        <w:tc>
          <w:tcPr>
            <w:tcW w:w="0" w:type="auto"/>
            <w:vAlign w:val="center"/>
            <w:hideMark/>
          </w:tcPr>
          <w:p w14:paraId="7E95ADDA" w14:textId="77777777" w:rsidR="0039088A" w:rsidRDefault="000342F2">
            <w:pPr>
              <w:rPr>
                <w:color w:val="000000"/>
              </w:rPr>
            </w:pPr>
            <w:r>
              <w:rPr>
                <w:color w:val="000000"/>
              </w:rPr>
              <w:t xml:space="preserve">5005 - Employment and Volunteers: Disclosures, Certification Requirements, Assurances and Approval </w:t>
            </w:r>
          </w:p>
        </w:tc>
      </w:tr>
      <w:tr w:rsidR="0039088A" w14:paraId="7E5C93B1" w14:textId="77777777">
        <w:trPr>
          <w:tblCellSpacing w:w="15" w:type="dxa"/>
        </w:trPr>
        <w:tc>
          <w:tcPr>
            <w:tcW w:w="3000" w:type="dxa"/>
            <w:vAlign w:val="center"/>
            <w:hideMark/>
          </w:tcPr>
          <w:p w14:paraId="3692CE90" w14:textId="77777777" w:rsidR="0039088A" w:rsidRDefault="0039088A">
            <w:pPr>
              <w:rPr>
                <w:color w:val="000000"/>
              </w:rPr>
            </w:pPr>
          </w:p>
        </w:tc>
        <w:tc>
          <w:tcPr>
            <w:tcW w:w="0" w:type="auto"/>
            <w:vAlign w:val="center"/>
            <w:hideMark/>
          </w:tcPr>
          <w:p w14:paraId="390B377D" w14:textId="77777777" w:rsidR="0039088A" w:rsidRDefault="0039088A">
            <w:pPr>
              <w:rPr>
                <w:rFonts w:ascii="Times New Roman" w:eastAsia="Times New Roman" w:hAnsi="Times New Roman"/>
                <w:sz w:val="20"/>
                <w:szCs w:val="20"/>
              </w:rPr>
            </w:pPr>
          </w:p>
        </w:tc>
      </w:tr>
    </w:tbl>
    <w:p w14:paraId="409AF2F9" w14:textId="77777777" w:rsidR="0039088A" w:rsidRDefault="0039088A">
      <w:pPr>
        <w:spacing w:after="240"/>
        <w:rPr>
          <w:rFonts w:eastAsia="Times New Roman"/>
          <w:color w:val="000000"/>
          <w:sz w:val="23"/>
          <w:szCs w:val="23"/>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648"/>
      </w:tblGrid>
      <w:tr w:rsidR="0039088A" w14:paraId="60D685EC" w14:textId="77777777">
        <w:trPr>
          <w:tblCellSpacing w:w="15" w:type="dxa"/>
        </w:trPr>
        <w:tc>
          <w:tcPr>
            <w:tcW w:w="3000" w:type="dxa"/>
            <w:vAlign w:val="center"/>
            <w:hideMark/>
          </w:tcPr>
          <w:p w14:paraId="13681619" w14:textId="77777777" w:rsidR="0039088A" w:rsidRDefault="000342F2">
            <w:pPr>
              <w:rPr>
                <w:color w:val="000000"/>
              </w:rPr>
            </w:pPr>
            <w:r>
              <w:rPr>
                <w:color w:val="000000"/>
              </w:rPr>
              <w:t xml:space="preserve">Legal References: </w:t>
            </w:r>
          </w:p>
        </w:tc>
        <w:tc>
          <w:tcPr>
            <w:tcW w:w="0" w:type="auto"/>
            <w:vAlign w:val="center"/>
            <w:hideMark/>
          </w:tcPr>
          <w:p w14:paraId="1B24762E" w14:textId="77777777" w:rsidR="0039088A" w:rsidRDefault="000342F2">
            <w:pPr>
              <w:rPr>
                <w:color w:val="000000"/>
              </w:rPr>
            </w:pPr>
            <w:r>
              <w:rPr>
                <w:color w:val="000000"/>
              </w:rPr>
              <w:t xml:space="preserve">RCW 43.43.830-840 Washington State Patrol background checks </w:t>
            </w:r>
          </w:p>
        </w:tc>
      </w:tr>
      <w:tr w:rsidR="0039088A" w14:paraId="24DCD51F" w14:textId="77777777">
        <w:trPr>
          <w:tblCellSpacing w:w="15" w:type="dxa"/>
        </w:trPr>
        <w:tc>
          <w:tcPr>
            <w:tcW w:w="3000" w:type="dxa"/>
            <w:vAlign w:val="center"/>
            <w:hideMark/>
          </w:tcPr>
          <w:p w14:paraId="20DC85F4" w14:textId="77777777" w:rsidR="0039088A" w:rsidRDefault="0039088A">
            <w:pPr>
              <w:rPr>
                <w:color w:val="000000"/>
              </w:rPr>
            </w:pPr>
          </w:p>
        </w:tc>
        <w:tc>
          <w:tcPr>
            <w:tcW w:w="0" w:type="auto"/>
            <w:vAlign w:val="center"/>
            <w:hideMark/>
          </w:tcPr>
          <w:p w14:paraId="470BA59A" w14:textId="77777777" w:rsidR="0039088A" w:rsidRDefault="000342F2">
            <w:pPr>
              <w:rPr>
                <w:color w:val="000000"/>
              </w:rPr>
            </w:pPr>
            <w:r>
              <w:rPr>
                <w:color w:val="000000"/>
              </w:rPr>
              <w:t xml:space="preserve">WAC 446-20-285 Employment — Conviction Records </w:t>
            </w:r>
          </w:p>
        </w:tc>
      </w:tr>
      <w:tr w:rsidR="0039088A" w14:paraId="7EC1335E" w14:textId="77777777">
        <w:trPr>
          <w:tblCellSpacing w:w="15" w:type="dxa"/>
        </w:trPr>
        <w:tc>
          <w:tcPr>
            <w:tcW w:w="3000" w:type="dxa"/>
            <w:vAlign w:val="center"/>
            <w:hideMark/>
          </w:tcPr>
          <w:p w14:paraId="46E8C760" w14:textId="77777777" w:rsidR="0039088A" w:rsidRDefault="0039088A">
            <w:pPr>
              <w:rPr>
                <w:color w:val="000000"/>
              </w:rPr>
            </w:pPr>
          </w:p>
        </w:tc>
        <w:tc>
          <w:tcPr>
            <w:tcW w:w="0" w:type="auto"/>
            <w:vAlign w:val="center"/>
            <w:hideMark/>
          </w:tcPr>
          <w:p w14:paraId="6B3581CB" w14:textId="77777777" w:rsidR="0039088A" w:rsidRDefault="0039088A">
            <w:pPr>
              <w:rPr>
                <w:rFonts w:ascii="Times New Roman" w:eastAsia="Times New Roman" w:hAnsi="Times New Roman"/>
                <w:sz w:val="20"/>
                <w:szCs w:val="20"/>
              </w:rPr>
            </w:pPr>
          </w:p>
        </w:tc>
      </w:tr>
    </w:tbl>
    <w:p w14:paraId="54DC8945" w14:textId="48CEA36D" w:rsidR="0039088A" w:rsidRDefault="0039088A">
      <w:pPr>
        <w:spacing w:after="240"/>
        <w:rPr>
          <w:rFonts w:eastAsia="Times New Roman"/>
          <w:color w:val="000000"/>
          <w:sz w:val="23"/>
          <w:szCs w:val="23"/>
        </w:rPr>
      </w:pPr>
    </w:p>
    <w:p w14:paraId="3A60604B" w14:textId="682C505E" w:rsidR="000327D4" w:rsidRPr="000327D4" w:rsidRDefault="000327D4">
      <w:pPr>
        <w:spacing w:after="240"/>
        <w:rPr>
          <w:rFonts w:eastAsia="Times New Roman"/>
          <w:i/>
          <w:iCs/>
          <w:color w:val="000000"/>
          <w:sz w:val="20"/>
          <w:szCs w:val="20"/>
        </w:rPr>
      </w:pPr>
      <w:r w:rsidRPr="000327D4">
        <w:rPr>
          <w:rFonts w:eastAsia="Times New Roman"/>
          <w:i/>
          <w:iCs/>
          <w:color w:val="000000"/>
          <w:sz w:val="20"/>
          <w:szCs w:val="20"/>
        </w:rPr>
        <w:t>From the WSSDA Policy Manual audit, this policy needs no changes as of March 4, 2015</w:t>
      </w:r>
    </w:p>
    <w:p w14:paraId="2B8AFA1A" w14:textId="77777777" w:rsidR="0039088A" w:rsidRDefault="000342F2">
      <w:pPr>
        <w:pStyle w:val="NormalWeb"/>
        <w:rPr>
          <w:color w:val="000000"/>
        </w:rPr>
      </w:pPr>
      <w:r>
        <w:rPr>
          <w:color w:val="000000"/>
        </w:rPr>
        <w:t xml:space="preserve">Last Revised: </w:t>
      </w:r>
      <w:r>
        <w:rPr>
          <w:b/>
          <w:bCs/>
          <w:color w:val="000000"/>
        </w:rPr>
        <w:t>December 01, 2011</w:t>
      </w:r>
      <w:r>
        <w:rPr>
          <w:color w:val="000000"/>
        </w:rPr>
        <w:br/>
        <w:t xml:space="preserve">Classification: </w:t>
      </w:r>
      <w:r>
        <w:rPr>
          <w:b/>
          <w:bCs/>
          <w:color w:val="000000"/>
        </w:rPr>
        <w:t>Discretionary</w:t>
      </w:r>
      <w:r>
        <w:rPr>
          <w:color w:val="000000"/>
        </w:rPr>
        <w:br/>
        <w:t xml:space="preserve">Prior Revised Dates: </w:t>
      </w:r>
      <w:r>
        <w:rPr>
          <w:b/>
          <w:bCs/>
          <w:color w:val="000000"/>
        </w:rPr>
        <w:t>04.98</w:t>
      </w:r>
    </w:p>
    <w:p w14:paraId="0DA98FB7" w14:textId="77777777" w:rsidR="0039088A" w:rsidRDefault="0039088A">
      <w:pPr>
        <w:rPr>
          <w:rFonts w:eastAsia="Times New Roman"/>
          <w:color w:val="000000"/>
          <w:sz w:val="23"/>
          <w:szCs w:val="23"/>
        </w:rPr>
      </w:pPr>
    </w:p>
    <w:p w14:paraId="3CFB11E8" w14:textId="77777777" w:rsidR="0039088A" w:rsidRDefault="0026342A">
      <w:pPr>
        <w:rPr>
          <w:rFonts w:eastAsia="Times New Roman"/>
          <w:color w:val="000000"/>
          <w:sz w:val="23"/>
          <w:szCs w:val="23"/>
        </w:rPr>
      </w:pPr>
      <w:r>
        <w:rPr>
          <w:rFonts w:eastAsia="Times New Roman"/>
          <w:noProof/>
          <w:color w:val="000000"/>
          <w:sz w:val="23"/>
          <w:szCs w:val="23"/>
        </w:rPr>
        <w:pict w14:anchorId="567243CA">
          <v:rect id="_x0000_i1025" alt="" style="width:468pt;height:.05pt;mso-width-percent:0;mso-height-percent:0;mso-width-percent:0;mso-height-percent:0" o:hralign="center" o:hrstd="t" o:hr="t" fillcolor="#a0a0a0" stroked="f"/>
        </w:pict>
      </w:r>
    </w:p>
    <w:p w14:paraId="06EAD47D" w14:textId="77777777" w:rsidR="000342F2" w:rsidRDefault="000342F2">
      <w:pPr>
        <w:pStyle w:val="NormalWeb"/>
        <w:rPr>
          <w:color w:val="999999"/>
        </w:rPr>
      </w:pPr>
      <w:r>
        <w:rPr>
          <w:color w:val="999999"/>
        </w:rPr>
        <w:t>© 2020-2025 Washington State School Directors' Association. All rights reserved.</w:t>
      </w:r>
    </w:p>
    <w:sectPr w:rsidR="00034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4B"/>
    <w:rsid w:val="000327D4"/>
    <w:rsid w:val="000342F2"/>
    <w:rsid w:val="0026342A"/>
    <w:rsid w:val="0036204B"/>
    <w:rsid w:val="0039088A"/>
    <w:rsid w:val="00620485"/>
    <w:rsid w:val="0070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6658A"/>
  <w15:chartTrackingRefBased/>
  <w15:docId w15:val="{300196A4-6F99-254C-B4F6-5AB47A9C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 w:val="17"/>
      <w:szCs w:val="17"/>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alignright">
    <w:name w:val="alignright"/>
    <w:basedOn w:val="Normal"/>
    <w:pPr>
      <w:jc w:val="right"/>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5630-Volunteers </dc:title>
  <dc:subject/>
  <dc:creator>Connie  Fehrenbach</dc:creator>
  <cp:keywords/>
  <dc:description/>
  <cp:lastModifiedBy>Connie  Fehrenbach</cp:lastModifiedBy>
  <cp:revision>4</cp:revision>
  <dcterms:created xsi:type="dcterms:W3CDTF">2024-10-14T19:35:00Z</dcterms:created>
  <dcterms:modified xsi:type="dcterms:W3CDTF">2024-10-15T16:39:00Z</dcterms:modified>
</cp:coreProperties>
</file>